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B94" w:rsidRPr="00E336E8" w:rsidRDefault="00DE5B94" w:rsidP="00DE5B94">
      <w:pPr>
        <w:pStyle w:val="ConsPlusNormal"/>
        <w:ind w:left="9214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DE5B94" w:rsidRPr="00E336E8" w:rsidRDefault="00DE5B94" w:rsidP="00DE5B94">
      <w:pPr>
        <w:pStyle w:val="ConsPlusNormal"/>
        <w:ind w:left="92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к Правилам определения требований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закупаемым администрацией 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Ольгинского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</w:t>
      </w:r>
      <w:r w:rsidR="00E336E8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казенными учреждениями,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бюджетными учреждениями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Ольгинского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</w:t>
      </w:r>
      <w:r w:rsidR="00E336E8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отдельным видам товаров, работ, услуг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(в том числе предельных цен товаров, работ, услуг)</w:t>
      </w:r>
      <w:r w:rsidR="00B21E6A"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t>для обеспечения муниципальных нужд</w:t>
      </w:r>
    </w:p>
    <w:p w:rsidR="00B21E6A" w:rsidRPr="00E336E8" w:rsidRDefault="00B21E6A" w:rsidP="00DE5B94">
      <w:pPr>
        <w:pStyle w:val="ConsPlusNormal"/>
        <w:ind w:left="9214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DE5B94" w:rsidRPr="00E336E8" w:rsidRDefault="00DE5B94" w:rsidP="00C5186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B22472" w:rsidRPr="00E336E8" w:rsidRDefault="00B22472" w:rsidP="00C5186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ПЕРЕЧЕНЬОТДЕЛЬНЫХ ВИДОВ ТОВАРОВ, РАБОТ, УСЛУГ, ИХ ПОТРЕБИТЕЛЬСКИЕ</w:t>
      </w:r>
    </w:p>
    <w:p w:rsidR="00B22472" w:rsidRPr="00E336E8" w:rsidRDefault="00B22472" w:rsidP="00B2247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СВОЙСТВА (В ТОМ ЧИСЛЕ КАЧЕСТВО) И ИНЫЕ ХАРАКТЕРИСТИКИ</w:t>
      </w:r>
    </w:p>
    <w:p w:rsidR="00B22472" w:rsidRPr="00E336E8" w:rsidRDefault="00B22472" w:rsidP="00B2247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(В ТОМ ЧИСЛЕ ПРЕДЕЛЬНЫЕ ЦЕНЫ ТОВАРОВ, РАБОТ, УСЛУГ) К НИМ</w:t>
      </w: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888"/>
        <w:gridCol w:w="1559"/>
        <w:gridCol w:w="851"/>
        <w:gridCol w:w="201"/>
        <w:gridCol w:w="933"/>
        <w:gridCol w:w="1227"/>
        <w:gridCol w:w="1891"/>
        <w:gridCol w:w="567"/>
        <w:gridCol w:w="426"/>
        <w:gridCol w:w="236"/>
        <w:gridCol w:w="898"/>
        <w:gridCol w:w="1007"/>
        <w:gridCol w:w="2253"/>
        <w:gridCol w:w="1701"/>
      </w:tblGrid>
      <w:tr w:rsidR="00E336E8" w:rsidRPr="00E336E8" w:rsidTr="00781A7B">
        <w:trPr>
          <w:trHeight w:val="1648"/>
        </w:trPr>
        <w:tc>
          <w:tcPr>
            <w:tcW w:w="450" w:type="dxa"/>
            <w:vMerge w:val="restart"/>
          </w:tcPr>
          <w:p w:rsidR="00B22472" w:rsidRPr="00E336E8" w:rsidRDefault="00C5186F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B22472" w:rsidRPr="00E336E8">
              <w:rPr>
                <w:rFonts w:ascii="Times New Roman" w:hAnsi="Times New Roman" w:cs="Times New Roman"/>
                <w:color w:val="000000" w:themeColor="text1"/>
              </w:rPr>
              <w:t xml:space="preserve"> п/п</w:t>
            </w:r>
          </w:p>
        </w:tc>
        <w:tc>
          <w:tcPr>
            <w:tcW w:w="888" w:type="dxa"/>
            <w:vMerge w:val="restart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hyperlink r:id="rId5" w:history="1">
              <w:r w:rsidRPr="00E336E8">
                <w:rPr>
                  <w:rFonts w:ascii="Times New Roman" w:hAnsi="Times New Roman" w:cs="Times New Roman"/>
                  <w:color w:val="000000" w:themeColor="text1"/>
                </w:rPr>
                <w:t>ОКПД2</w:t>
              </w:r>
            </w:hyperlink>
          </w:p>
        </w:tc>
        <w:tc>
          <w:tcPr>
            <w:tcW w:w="1559" w:type="dxa"/>
            <w:vMerge w:val="restart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Наименование отдельного вида товаров, работ, услуг</w:t>
            </w:r>
          </w:p>
        </w:tc>
        <w:tc>
          <w:tcPr>
            <w:tcW w:w="1985" w:type="dxa"/>
            <w:gridSpan w:val="3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3118" w:type="dxa"/>
            <w:gridSpan w:val="2"/>
          </w:tcPr>
          <w:p w:rsidR="00B22472" w:rsidRPr="00E336E8" w:rsidRDefault="00B22472" w:rsidP="00E336E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5186F" w:rsidRPr="00E336E8">
              <w:rPr>
                <w:rFonts w:ascii="Times New Roman" w:hAnsi="Times New Roman" w:cs="Times New Roman"/>
                <w:color w:val="000000" w:themeColor="text1"/>
              </w:rPr>
              <w:t xml:space="preserve">администрацией </w:t>
            </w:r>
            <w:r w:rsidR="00B21E6A" w:rsidRPr="00E336E8">
              <w:rPr>
                <w:rFonts w:ascii="Times New Roman" w:hAnsi="Times New Roman" w:cs="Times New Roman"/>
                <w:color w:val="000000" w:themeColor="text1"/>
              </w:rPr>
              <w:t>Ольгинского</w:t>
            </w:r>
            <w:r w:rsidR="00C5186F" w:rsidRPr="00E336E8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</w:t>
            </w:r>
            <w:r w:rsidR="00E336E8" w:rsidRPr="00E336E8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</w:p>
        </w:tc>
        <w:tc>
          <w:tcPr>
            <w:tcW w:w="7088" w:type="dxa"/>
            <w:gridSpan w:val="7"/>
          </w:tcPr>
          <w:p w:rsidR="00B22472" w:rsidRPr="00E336E8" w:rsidRDefault="00B22472" w:rsidP="002F03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F0357" w:rsidRPr="00E336E8">
              <w:rPr>
                <w:rFonts w:ascii="Times New Roman" w:hAnsi="Times New Roman" w:cs="Times New Roman"/>
                <w:color w:val="000000" w:themeColor="text1"/>
              </w:rPr>
              <w:t>заказчиками</w:t>
            </w:r>
          </w:p>
        </w:tc>
      </w:tr>
      <w:tr w:rsidR="00E336E8" w:rsidRPr="00E336E8" w:rsidTr="00781A7B">
        <w:trPr>
          <w:trHeight w:val="1222"/>
        </w:trPr>
        <w:tc>
          <w:tcPr>
            <w:tcW w:w="450" w:type="dxa"/>
            <w:vMerge/>
          </w:tcPr>
          <w:p w:rsidR="00B22472" w:rsidRPr="00E336E8" w:rsidRDefault="00B22472" w:rsidP="00781A7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8" w:type="dxa"/>
            <w:vMerge/>
          </w:tcPr>
          <w:p w:rsidR="00B22472" w:rsidRPr="00E336E8" w:rsidRDefault="00B22472" w:rsidP="00781A7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B22472" w:rsidRPr="00E336E8" w:rsidRDefault="00B22472" w:rsidP="00781A7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hyperlink r:id="rId6" w:history="1">
              <w:r w:rsidRPr="00E336E8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</w:p>
        </w:tc>
        <w:tc>
          <w:tcPr>
            <w:tcW w:w="113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227" w:type="dxa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характеристика</w:t>
            </w:r>
          </w:p>
        </w:tc>
        <w:tc>
          <w:tcPr>
            <w:tcW w:w="1891" w:type="dxa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значение характеристики</w:t>
            </w:r>
          </w:p>
        </w:tc>
        <w:tc>
          <w:tcPr>
            <w:tcW w:w="993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характеристика</w:t>
            </w:r>
          </w:p>
        </w:tc>
        <w:tc>
          <w:tcPr>
            <w:tcW w:w="113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значение характеристики</w:t>
            </w:r>
          </w:p>
        </w:tc>
        <w:tc>
          <w:tcPr>
            <w:tcW w:w="3260" w:type="dxa"/>
            <w:gridSpan w:val="2"/>
          </w:tcPr>
          <w:p w:rsidR="00B22472" w:rsidRPr="00E336E8" w:rsidRDefault="00B22472" w:rsidP="00E336E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обоснование отклонения зн</w:t>
            </w:r>
            <w:bookmarkStart w:id="0" w:name="_GoBack"/>
            <w:bookmarkEnd w:id="0"/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ачения характеристики от утвержденной </w:t>
            </w:r>
            <w:r w:rsidR="00C5186F" w:rsidRPr="00E336E8">
              <w:rPr>
                <w:rFonts w:ascii="Times New Roman" w:hAnsi="Times New Roman" w:cs="Times New Roman"/>
                <w:color w:val="000000" w:themeColor="text1"/>
              </w:rPr>
              <w:t xml:space="preserve">администрацией </w:t>
            </w:r>
            <w:r w:rsidR="00B21E6A" w:rsidRPr="00E336E8">
              <w:rPr>
                <w:rFonts w:ascii="Times New Roman" w:hAnsi="Times New Roman" w:cs="Times New Roman"/>
                <w:color w:val="000000" w:themeColor="text1"/>
              </w:rPr>
              <w:t>Ольгинского</w:t>
            </w:r>
            <w:r w:rsidR="00C5186F" w:rsidRPr="00E336E8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</w:t>
            </w:r>
            <w:r w:rsidR="00E336E8" w:rsidRPr="00E336E8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</w:p>
        </w:tc>
        <w:tc>
          <w:tcPr>
            <w:tcW w:w="1701" w:type="dxa"/>
          </w:tcPr>
          <w:p w:rsidR="00B22472" w:rsidRPr="00E336E8" w:rsidRDefault="00B22472" w:rsidP="00781A7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функциональное назначение </w:t>
            </w:r>
            <w:hyperlink w:anchor="P199" w:history="1">
              <w:r w:rsidRPr="00E336E8">
                <w:rPr>
                  <w:rFonts w:ascii="Times New Roman" w:hAnsi="Times New Roman" w:cs="Times New Roman"/>
                  <w:color w:val="000000" w:themeColor="text1"/>
                </w:rPr>
                <w:t>&lt;*&gt;</w:t>
              </w:r>
            </w:hyperlink>
          </w:p>
        </w:tc>
      </w:tr>
      <w:tr w:rsidR="00E336E8" w:rsidRPr="00E336E8" w:rsidTr="00781A7B">
        <w:trPr>
          <w:trHeight w:val="1158"/>
        </w:trPr>
        <w:tc>
          <w:tcPr>
            <w:tcW w:w="15088" w:type="dxa"/>
            <w:gridSpan w:val="15"/>
          </w:tcPr>
          <w:p w:rsidR="00B22472" w:rsidRPr="00E336E8" w:rsidRDefault="00B22472" w:rsidP="00E336E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Отдельные виды товаров, работ, услуг, включенные в </w:t>
            </w:r>
            <w:hyperlink w:anchor="P224" w:history="1">
              <w:r w:rsidRPr="00E336E8">
                <w:rPr>
                  <w:rFonts w:ascii="Times New Roman" w:hAnsi="Times New Roman" w:cs="Times New Roman"/>
                  <w:color w:val="000000" w:themeColor="text1"/>
                </w:rPr>
                <w:t>перечень</w:t>
              </w:r>
            </w:hyperlink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 отдельных видов товаров, работ, услуг, предусмотренный приложением № 2 к Правилам определения требований к закупаемым </w:t>
            </w:r>
            <w:r w:rsidR="002F0357" w:rsidRPr="00E336E8">
              <w:rPr>
                <w:rFonts w:ascii="Times New Roman" w:hAnsi="Times New Roman" w:cs="Times New Roman"/>
                <w:color w:val="000000" w:themeColor="text1"/>
              </w:rPr>
              <w:t xml:space="preserve">администрацией </w:t>
            </w:r>
            <w:r w:rsidR="00B21E6A" w:rsidRPr="00E336E8">
              <w:rPr>
                <w:rFonts w:ascii="Times New Roman" w:hAnsi="Times New Roman" w:cs="Times New Roman"/>
                <w:color w:val="000000" w:themeColor="text1"/>
              </w:rPr>
              <w:t>Ольгинского</w:t>
            </w: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</w:t>
            </w:r>
            <w:r w:rsidR="00E336E8" w:rsidRPr="00E336E8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, казенными учреждениями, бюджетными учреждениями </w:t>
            </w:r>
            <w:r w:rsidR="00B21E6A" w:rsidRPr="00E336E8">
              <w:rPr>
                <w:rFonts w:ascii="Times New Roman" w:hAnsi="Times New Roman" w:cs="Times New Roman"/>
                <w:color w:val="000000" w:themeColor="text1"/>
              </w:rPr>
              <w:t>Ольгинского</w:t>
            </w:r>
            <w:r w:rsidR="002F0357" w:rsidRPr="00E336E8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</w:t>
            </w:r>
            <w:r w:rsidR="00E336E8" w:rsidRPr="00E336E8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 отдельным видам товаров, работ, услуг (в том числе предельных цен товаров, работ, услуг) для обеспечения муниципальных нужд, утвержденным постановлением </w:t>
            </w:r>
            <w:r w:rsidR="00C5186F" w:rsidRPr="00E336E8">
              <w:rPr>
                <w:rFonts w:ascii="Times New Roman" w:hAnsi="Times New Roman" w:cs="Times New Roman"/>
                <w:color w:val="000000" w:themeColor="text1"/>
              </w:rPr>
              <w:t xml:space="preserve">администрации </w:t>
            </w:r>
            <w:r w:rsidR="00B21E6A" w:rsidRPr="00E336E8">
              <w:rPr>
                <w:rFonts w:ascii="Times New Roman" w:hAnsi="Times New Roman" w:cs="Times New Roman"/>
                <w:color w:val="000000" w:themeColor="text1"/>
              </w:rPr>
              <w:t>Ольгинского</w:t>
            </w:r>
            <w:r w:rsidR="00C5186F" w:rsidRPr="00E336E8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</w:t>
            </w:r>
            <w:r w:rsidR="00E336E8" w:rsidRPr="00E336E8">
              <w:rPr>
                <w:rFonts w:ascii="Times New Roman" w:hAnsi="Times New Roman" w:cs="Times New Roman"/>
                <w:color w:val="000000" w:themeColor="text1"/>
              </w:rPr>
              <w:t>округа</w:t>
            </w:r>
          </w:p>
        </w:tc>
      </w:tr>
      <w:tr w:rsidR="00E336E8" w:rsidRPr="00E336E8" w:rsidTr="00C5186F">
        <w:trPr>
          <w:trHeight w:val="188"/>
        </w:trPr>
        <w:tc>
          <w:tcPr>
            <w:tcW w:w="450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88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3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2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1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5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5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36E8" w:rsidRPr="00E336E8" w:rsidTr="00C5186F">
        <w:tc>
          <w:tcPr>
            <w:tcW w:w="450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8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3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2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1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5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5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36E8" w:rsidRPr="00E336E8" w:rsidTr="00B22472">
        <w:tc>
          <w:tcPr>
            <w:tcW w:w="15088" w:type="dxa"/>
            <w:gridSpan w:val="15"/>
          </w:tcPr>
          <w:p w:rsidR="00B22472" w:rsidRPr="00E336E8" w:rsidRDefault="00B22472" w:rsidP="002F03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 xml:space="preserve">Дополнительный перечень отдельных видов товаров, работ, услуг, определенный </w:t>
            </w:r>
            <w:r w:rsidR="002F0357" w:rsidRPr="00E336E8">
              <w:rPr>
                <w:rFonts w:ascii="Times New Roman" w:hAnsi="Times New Roman" w:cs="Times New Roman"/>
                <w:color w:val="000000" w:themeColor="text1"/>
              </w:rPr>
              <w:t>заказчиками</w:t>
            </w:r>
          </w:p>
        </w:tc>
      </w:tr>
      <w:tr w:rsidR="00E336E8" w:rsidRPr="00E336E8" w:rsidTr="00C5186F">
        <w:tc>
          <w:tcPr>
            <w:tcW w:w="450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88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3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2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91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5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395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E336E8" w:rsidRPr="00E336E8" w:rsidTr="00C5186F">
        <w:tc>
          <w:tcPr>
            <w:tcW w:w="450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8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3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2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91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5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395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E336E8" w:rsidRPr="00E336E8" w:rsidTr="00C5186F">
        <w:tc>
          <w:tcPr>
            <w:tcW w:w="450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8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3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2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91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5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3954" w:type="dxa"/>
            <w:gridSpan w:val="2"/>
          </w:tcPr>
          <w:p w:rsidR="00B22472" w:rsidRPr="00E336E8" w:rsidRDefault="00B22472" w:rsidP="00781A7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</w:tbl>
    <w:p w:rsidR="00B22472" w:rsidRPr="00E336E8" w:rsidRDefault="00B22472" w:rsidP="00C5186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E336E8">
        <w:rPr>
          <w:rFonts w:ascii="Times New Roman" w:hAnsi="Times New Roman" w:cs="Times New Roman"/>
          <w:color w:val="000000" w:themeColor="text1"/>
        </w:rPr>
        <w:t>--------------------------------</w:t>
      </w:r>
    </w:p>
    <w:p w:rsidR="00B22472" w:rsidRPr="00E336E8" w:rsidRDefault="00B22472" w:rsidP="00B224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1" w:name="P199"/>
      <w:bookmarkEnd w:id="1"/>
      <w:r w:rsidRPr="00E336E8">
        <w:rPr>
          <w:rFonts w:ascii="Times New Roman" w:hAnsi="Times New Roman" w:cs="Times New Roman"/>
          <w:color w:val="000000" w:themeColor="text1"/>
        </w:rPr>
        <w:t>&lt;*&gt; -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характеристик качества) и иным характеристикам (в том числе предельные цены товаров, работ, услуг).</w:t>
      </w: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781A7B" w:rsidRPr="00E336E8" w:rsidRDefault="00781A7B" w:rsidP="00B22472">
      <w:pPr>
        <w:pStyle w:val="ConsPlusNormal"/>
        <w:ind w:firstLine="540"/>
        <w:jc w:val="both"/>
        <w:rPr>
          <w:color w:val="000000" w:themeColor="text1"/>
        </w:rPr>
      </w:pP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p w:rsidR="00F117ED" w:rsidRPr="00E336E8" w:rsidRDefault="00F117ED" w:rsidP="00F117ED">
      <w:pPr>
        <w:pStyle w:val="ConsPlusTitle"/>
        <w:jc w:val="right"/>
        <w:rPr>
          <w:rFonts w:ascii="Times New Roman" w:hAnsi="Times New Roman" w:cs="Times New Roman"/>
          <w:color w:val="000000" w:themeColor="text1"/>
          <w:sz w:val="25"/>
          <w:szCs w:val="25"/>
        </w:rPr>
      </w:pPr>
      <w:bookmarkStart w:id="2" w:name="P224"/>
      <w:bookmarkEnd w:id="2"/>
    </w:p>
    <w:p w:rsidR="00F117ED" w:rsidRPr="00E336E8" w:rsidRDefault="00F117ED" w:rsidP="00F117ED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6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2</w:t>
      </w:r>
    </w:p>
    <w:p w:rsidR="00F117ED" w:rsidRPr="00E336E8" w:rsidRDefault="00F117ED" w:rsidP="00F117ED">
      <w:pPr>
        <w:pStyle w:val="ConsPlusTitle"/>
        <w:ind w:left="9498"/>
        <w:jc w:val="both"/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к Правилам определения требований к закупаемым администрацией </w:t>
      </w:r>
      <w:r w:rsidR="00B21E6A"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Ольгинского</w:t>
      </w:r>
      <w:r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муниципального </w:t>
      </w:r>
      <w:r w:rsidR="00E336E8"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округа</w:t>
      </w:r>
      <w:r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казенными учреждениями, бюджетными учреждениями </w:t>
      </w:r>
      <w:r w:rsidR="00B21E6A"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Ольгинского</w:t>
      </w:r>
      <w:r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муниципального </w:t>
      </w:r>
      <w:r w:rsidR="00E336E8"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округа</w:t>
      </w:r>
      <w:r w:rsidRPr="00E336E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</w:t>
      </w:r>
    </w:p>
    <w:p w:rsidR="00F117ED" w:rsidRPr="00E336E8" w:rsidRDefault="00F117ED" w:rsidP="00F117ED">
      <w:pPr>
        <w:pStyle w:val="ConsPlusTitle"/>
        <w:ind w:left="9498" w:firstLine="1418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F117ED" w:rsidRPr="00E336E8" w:rsidRDefault="00F117ED" w:rsidP="00781A7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26135" w:rsidRPr="00E336E8" w:rsidRDefault="00026135" w:rsidP="00781A7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B22472" w:rsidRPr="00E336E8" w:rsidRDefault="00B22472" w:rsidP="00781A7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>ОБЯЗАТЕЛЬНЫЙ ПЕРЕЧЕНЬ</w:t>
      </w:r>
      <w:r w:rsidR="00E336E8"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>ОТДЕЛЬНЫХ ВИДОВ ТОВАРОВ, РАБОТ, УСЛУГ, В ОТНОШЕНИИ</w:t>
      </w:r>
    </w:p>
    <w:p w:rsidR="00781A7B" w:rsidRPr="00E336E8" w:rsidRDefault="00B22472" w:rsidP="00781A7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КОТОРЫХ ОПРЕДЕЛЯЮТСЯ ТРЕБОВАНИЯ К ИХ ПОТРЕБИТЕЛЬСКИМСВОЙСТВАМ (В ТОМ ЧИСЛЕ К КАЧЕСТВУ) </w:t>
      </w:r>
    </w:p>
    <w:p w:rsidR="00B22472" w:rsidRPr="00E336E8" w:rsidRDefault="00B22472" w:rsidP="00781A7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>И ИНЫМ ХАРАКТЕРИСТИКАМ</w:t>
      </w:r>
      <w:r w:rsidR="00E336E8"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E336E8">
        <w:rPr>
          <w:rFonts w:ascii="Times New Roman" w:hAnsi="Times New Roman" w:cs="Times New Roman"/>
          <w:color w:val="000000" w:themeColor="text1"/>
          <w:sz w:val="25"/>
          <w:szCs w:val="25"/>
        </w:rPr>
        <w:t>(В ТОМ ЧИСЛЕ ПРЕДЕЛЬНЫЕ ЦЕНЫ ТОВАРОВ, РАБОТ, УСЛУГ)</w:t>
      </w:r>
    </w:p>
    <w:p w:rsidR="00B22472" w:rsidRPr="00E336E8" w:rsidRDefault="00B22472" w:rsidP="00B22472">
      <w:pPr>
        <w:spacing w:after="1"/>
        <w:rPr>
          <w:color w:val="000000" w:themeColor="text1"/>
        </w:rPr>
      </w:pPr>
    </w:p>
    <w:p w:rsidR="00B22472" w:rsidRPr="00E336E8" w:rsidRDefault="00B22472" w:rsidP="00B22472">
      <w:pPr>
        <w:pStyle w:val="ConsPlusNormal"/>
        <w:ind w:firstLine="540"/>
        <w:jc w:val="both"/>
        <w:rPr>
          <w:color w:val="000000" w:themeColor="text1"/>
        </w:rPr>
      </w:pPr>
    </w:p>
    <w:p w:rsidR="00B22472" w:rsidRPr="00E336E8" w:rsidRDefault="00B22472" w:rsidP="00B22472">
      <w:pPr>
        <w:rPr>
          <w:color w:val="000000" w:themeColor="text1"/>
        </w:rPr>
        <w:sectPr w:rsidR="00B22472" w:rsidRPr="00E336E8" w:rsidSect="00D7427D">
          <w:pgSz w:w="16838" w:h="11905" w:orient="landscape"/>
          <w:pgMar w:top="567" w:right="1134" w:bottom="1701" w:left="1134" w:header="0" w:footer="0" w:gutter="0"/>
          <w:cols w:space="720"/>
          <w:docGrid w:linePitch="299"/>
        </w:sectPr>
      </w:pPr>
    </w:p>
    <w:tbl>
      <w:tblPr>
        <w:tblpPr w:leftFromText="180" w:rightFromText="180" w:vertAnchor="text" w:tblpY="1"/>
        <w:tblOverlap w:val="never"/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958"/>
        <w:gridCol w:w="2126"/>
        <w:gridCol w:w="2410"/>
        <w:gridCol w:w="709"/>
        <w:gridCol w:w="708"/>
        <w:gridCol w:w="1418"/>
        <w:gridCol w:w="1417"/>
        <w:gridCol w:w="1701"/>
        <w:gridCol w:w="1843"/>
        <w:gridCol w:w="1418"/>
      </w:tblGrid>
      <w:tr w:rsidR="00E336E8" w:rsidRPr="00E336E8" w:rsidTr="00E0596A">
        <w:tc>
          <w:tcPr>
            <w:tcW w:w="522" w:type="dxa"/>
            <w:vMerge w:val="restart"/>
          </w:tcPr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N п/п</w:t>
            </w:r>
          </w:p>
        </w:tc>
        <w:tc>
          <w:tcPr>
            <w:tcW w:w="958" w:type="dxa"/>
            <w:vMerge w:val="restart"/>
          </w:tcPr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Код по </w:t>
            </w:r>
            <w:hyperlink r:id="rId7" w:history="1">
              <w:r w:rsidRPr="00E336E8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ОКПД 2</w:t>
              </w:r>
            </w:hyperlink>
          </w:p>
        </w:tc>
        <w:tc>
          <w:tcPr>
            <w:tcW w:w="2126" w:type="dxa"/>
            <w:vMerge w:val="restart"/>
          </w:tcPr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11624" w:type="dxa"/>
            <w:gridSpan w:val="8"/>
          </w:tcPr>
          <w:p w:rsidR="001B35A1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Требования к потребительским свойствам (в том числе характеристикам качества) и иным характеристикам </w:t>
            </w:r>
          </w:p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(в том числе предельные цены) отдельных видов товаров, работ, услуг</w:t>
            </w:r>
          </w:p>
        </w:tc>
      </w:tr>
      <w:tr w:rsidR="00E336E8" w:rsidRPr="00E336E8" w:rsidTr="00E0596A">
        <w:tc>
          <w:tcPr>
            <w:tcW w:w="522" w:type="dxa"/>
            <w:vMerge/>
          </w:tcPr>
          <w:p w:rsidR="00B22472" w:rsidRPr="00E336E8" w:rsidRDefault="00B22472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B22472" w:rsidRPr="00E336E8" w:rsidRDefault="00B22472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2472" w:rsidRPr="00E336E8" w:rsidRDefault="00B22472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характеристики</w:t>
            </w:r>
          </w:p>
        </w:tc>
        <w:tc>
          <w:tcPr>
            <w:tcW w:w="1417" w:type="dxa"/>
            <w:gridSpan w:val="2"/>
          </w:tcPr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единица измерения</w:t>
            </w:r>
          </w:p>
        </w:tc>
        <w:tc>
          <w:tcPr>
            <w:tcW w:w="7797" w:type="dxa"/>
            <w:gridSpan w:val="5"/>
          </w:tcPr>
          <w:p w:rsidR="00B22472" w:rsidRPr="00E336E8" w:rsidRDefault="00B22472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значение характеристики</w:t>
            </w:r>
          </w:p>
        </w:tc>
      </w:tr>
      <w:tr w:rsidR="00E336E8" w:rsidRPr="00E336E8" w:rsidTr="00B21E6A">
        <w:tc>
          <w:tcPr>
            <w:tcW w:w="522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код по </w:t>
            </w:r>
            <w:hyperlink r:id="rId8" w:history="1">
              <w:r w:rsidRPr="00E336E8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ОКЕИ</w:t>
              </w:r>
            </w:hyperlink>
          </w:p>
        </w:tc>
        <w:tc>
          <w:tcPr>
            <w:tcW w:w="708" w:type="dxa"/>
            <w:vMerge w:val="restart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</w:t>
            </w:r>
          </w:p>
        </w:tc>
        <w:tc>
          <w:tcPr>
            <w:tcW w:w="4536" w:type="dxa"/>
            <w:gridSpan w:val="3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должности категории "Руководители"</w:t>
            </w:r>
          </w:p>
        </w:tc>
        <w:tc>
          <w:tcPr>
            <w:tcW w:w="1843" w:type="dxa"/>
            <w:vMerge w:val="restart"/>
          </w:tcPr>
          <w:p w:rsidR="00B21E6A" w:rsidRPr="00E336E8" w:rsidRDefault="00B21E6A" w:rsidP="00B21E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должности категории «Ведущие»</w:t>
            </w:r>
          </w:p>
        </w:tc>
        <w:tc>
          <w:tcPr>
            <w:tcW w:w="1418" w:type="dxa"/>
            <w:vMerge w:val="restart"/>
          </w:tcPr>
          <w:p w:rsidR="00B21E6A" w:rsidRPr="00E336E8" w:rsidRDefault="00B21E6A" w:rsidP="00B21E6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должности категории «Специалисты»</w:t>
            </w:r>
          </w:p>
        </w:tc>
      </w:tr>
      <w:tr w:rsidR="00E336E8" w:rsidRPr="00E336E8" w:rsidTr="00B21E6A">
        <w:tc>
          <w:tcPr>
            <w:tcW w:w="522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21E6A" w:rsidRPr="00E336E8" w:rsidRDefault="00B21E6A" w:rsidP="002F03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руководитель или заместитель руководителя заказчика</w:t>
            </w:r>
          </w:p>
        </w:tc>
        <w:tc>
          <w:tcPr>
            <w:tcW w:w="1417" w:type="dxa"/>
          </w:tcPr>
          <w:p w:rsidR="00B21E6A" w:rsidRPr="00E336E8" w:rsidRDefault="00B21E6A" w:rsidP="002F03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руководитель (заместитель руководителя) структурного подразделения заказчика</w:t>
            </w:r>
          </w:p>
        </w:tc>
        <w:tc>
          <w:tcPr>
            <w:tcW w:w="1701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иные должности</w:t>
            </w:r>
          </w:p>
        </w:tc>
        <w:tc>
          <w:tcPr>
            <w:tcW w:w="1843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336E8" w:rsidRPr="00E336E8" w:rsidTr="00B21E6A">
        <w:tc>
          <w:tcPr>
            <w:tcW w:w="522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95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2126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2410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709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70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1417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1701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1843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</w:tr>
      <w:tr w:rsidR="00E336E8" w:rsidRPr="00E336E8" w:rsidTr="00B21E6A">
        <w:tc>
          <w:tcPr>
            <w:tcW w:w="522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95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26.20.11</w:t>
            </w:r>
          </w:p>
        </w:tc>
        <w:tc>
          <w:tcPr>
            <w:tcW w:w="2126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2410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размер и тип экрана; тип процессора; частота процессора; размер оперативной памяти; объем накопителя; тип жесткого диска; оптический привод; наличие модулей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Wi-Fi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Bluetooth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, поддержки 3G (UMTS); тип видеоадаптера; время работы; операционная система; предустановленное программное обеспечение; предельная цена</w:t>
            </w:r>
          </w:p>
        </w:tc>
        <w:tc>
          <w:tcPr>
            <w:tcW w:w="709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383</w:t>
            </w:r>
          </w:p>
        </w:tc>
        <w:tc>
          <w:tcPr>
            <w:tcW w:w="70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рубль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45000</w:t>
            </w:r>
          </w:p>
        </w:tc>
        <w:tc>
          <w:tcPr>
            <w:tcW w:w="1417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45000</w:t>
            </w:r>
          </w:p>
        </w:tc>
        <w:tc>
          <w:tcPr>
            <w:tcW w:w="1701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40000</w:t>
            </w:r>
          </w:p>
        </w:tc>
        <w:tc>
          <w:tcPr>
            <w:tcW w:w="1843" w:type="dxa"/>
          </w:tcPr>
          <w:p w:rsidR="00B21E6A" w:rsidRPr="00E336E8" w:rsidRDefault="00B21E6A" w:rsidP="002833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40000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не более </w:t>
            </w:r>
          </w:p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40000</w:t>
            </w:r>
          </w:p>
        </w:tc>
      </w:tr>
      <w:tr w:rsidR="00E336E8" w:rsidRPr="00E336E8" w:rsidTr="00B21E6A">
        <w:tc>
          <w:tcPr>
            <w:tcW w:w="522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2.</w:t>
            </w:r>
          </w:p>
        </w:tc>
        <w:tc>
          <w:tcPr>
            <w:tcW w:w="958" w:type="dxa"/>
          </w:tcPr>
          <w:p w:rsidR="00B21E6A" w:rsidRPr="00E336E8" w:rsidRDefault="00B21E6A" w:rsidP="00E0596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26.20.15</w:t>
            </w:r>
          </w:p>
        </w:tc>
        <w:tc>
          <w:tcPr>
            <w:tcW w:w="2126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Машины вычислительные электронные цифровые прочие, содержащие или не содержащие в одном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410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тип (моноблок/системный блок и монитор); размер экрана/монитора; тип процессора; частота процессора; размер оперативной памяти;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объем накопителя; тип жесткого диска; оптический привод; тип видеоадаптера; операционная система; предустановленное программное обеспечение; предельная цена</w:t>
            </w:r>
          </w:p>
        </w:tc>
        <w:tc>
          <w:tcPr>
            <w:tcW w:w="709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383</w:t>
            </w:r>
          </w:p>
        </w:tc>
        <w:tc>
          <w:tcPr>
            <w:tcW w:w="708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рубль</w:t>
            </w:r>
          </w:p>
        </w:tc>
        <w:tc>
          <w:tcPr>
            <w:tcW w:w="1418" w:type="dxa"/>
          </w:tcPr>
          <w:p w:rsidR="00B21E6A" w:rsidRPr="00E336E8" w:rsidRDefault="00B21E6A" w:rsidP="002833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50000</w:t>
            </w:r>
          </w:p>
        </w:tc>
        <w:tc>
          <w:tcPr>
            <w:tcW w:w="1417" w:type="dxa"/>
          </w:tcPr>
          <w:p w:rsidR="00B21E6A" w:rsidRPr="00E336E8" w:rsidRDefault="00B21E6A" w:rsidP="002833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50000</w:t>
            </w:r>
          </w:p>
        </w:tc>
        <w:tc>
          <w:tcPr>
            <w:tcW w:w="1701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45000</w:t>
            </w:r>
          </w:p>
        </w:tc>
        <w:tc>
          <w:tcPr>
            <w:tcW w:w="1843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45000</w:t>
            </w:r>
          </w:p>
        </w:tc>
        <w:tc>
          <w:tcPr>
            <w:tcW w:w="1418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не более </w:t>
            </w:r>
          </w:p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45000</w:t>
            </w:r>
          </w:p>
        </w:tc>
      </w:tr>
      <w:tr w:rsidR="00E336E8" w:rsidRPr="00E336E8" w:rsidTr="00B21E6A">
        <w:tblPrEx>
          <w:tblBorders>
            <w:insideH w:val="nil"/>
          </w:tblBorders>
        </w:tblPrEx>
        <w:tc>
          <w:tcPr>
            <w:tcW w:w="522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3.</w:t>
            </w:r>
          </w:p>
        </w:tc>
        <w:tc>
          <w:tcPr>
            <w:tcW w:w="958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26.20.16</w:t>
            </w:r>
          </w:p>
        </w:tc>
        <w:tc>
          <w:tcPr>
            <w:tcW w:w="2126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2410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метод печати (струйный/лазерный - для принтера); разрешение сканирования (для сканера); цветность (цветной/черно-белый); максимальный формат скорость печати/сканирования;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383</w:t>
            </w:r>
          </w:p>
        </w:tc>
        <w:tc>
          <w:tcPr>
            <w:tcW w:w="708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рубль</w:t>
            </w:r>
          </w:p>
        </w:tc>
        <w:tc>
          <w:tcPr>
            <w:tcW w:w="1418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35000</w:t>
            </w:r>
          </w:p>
        </w:tc>
        <w:tc>
          <w:tcPr>
            <w:tcW w:w="1417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35000</w:t>
            </w:r>
          </w:p>
        </w:tc>
        <w:tc>
          <w:tcPr>
            <w:tcW w:w="1701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35000</w:t>
            </w:r>
          </w:p>
        </w:tc>
        <w:tc>
          <w:tcPr>
            <w:tcW w:w="1843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30000</w:t>
            </w:r>
          </w:p>
        </w:tc>
        <w:tc>
          <w:tcPr>
            <w:tcW w:w="1418" w:type="dxa"/>
            <w:tcBorders>
              <w:bottom w:val="nil"/>
            </w:tcBorders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не более </w:t>
            </w:r>
          </w:p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30000</w:t>
            </w:r>
          </w:p>
        </w:tc>
      </w:tr>
      <w:tr w:rsidR="00E336E8" w:rsidRPr="00E336E8" w:rsidTr="00B21E6A">
        <w:tc>
          <w:tcPr>
            <w:tcW w:w="522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4.</w:t>
            </w:r>
          </w:p>
        </w:tc>
        <w:tc>
          <w:tcPr>
            <w:tcW w:w="95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26.30.11</w:t>
            </w:r>
          </w:p>
        </w:tc>
        <w:tc>
          <w:tcPr>
            <w:tcW w:w="2126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410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тип устройства (телефон/смартфон); поддерживаемые стандарты; операционная система; время работы; метод управления (сенсорный/кнопочный); количество SIM-карт; наличие модулей и интерфейсов (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Wi-Fi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Bluetooth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USB, GPS);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службы; предельная цена</w:t>
            </w:r>
          </w:p>
        </w:tc>
        <w:tc>
          <w:tcPr>
            <w:tcW w:w="709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383</w:t>
            </w:r>
          </w:p>
        </w:tc>
        <w:tc>
          <w:tcPr>
            <w:tcW w:w="70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рубль</w:t>
            </w:r>
          </w:p>
        </w:tc>
        <w:tc>
          <w:tcPr>
            <w:tcW w:w="1418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15000</w:t>
            </w:r>
          </w:p>
        </w:tc>
        <w:tc>
          <w:tcPr>
            <w:tcW w:w="1417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15000</w:t>
            </w:r>
          </w:p>
        </w:tc>
        <w:tc>
          <w:tcPr>
            <w:tcW w:w="1701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15000</w:t>
            </w:r>
          </w:p>
        </w:tc>
        <w:tc>
          <w:tcPr>
            <w:tcW w:w="1843" w:type="dxa"/>
          </w:tcPr>
          <w:p w:rsidR="00B21E6A" w:rsidRPr="00E336E8" w:rsidRDefault="00B21E6A" w:rsidP="00E059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5000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E336E8" w:rsidRPr="00E336E8" w:rsidTr="00B21E6A">
        <w:tc>
          <w:tcPr>
            <w:tcW w:w="522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5.</w:t>
            </w:r>
          </w:p>
        </w:tc>
        <w:tc>
          <w:tcPr>
            <w:tcW w:w="958" w:type="dxa"/>
            <w:vMerge w:val="restart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29.10.24</w:t>
            </w:r>
          </w:p>
        </w:tc>
        <w:tc>
          <w:tcPr>
            <w:tcW w:w="2126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Средства автотранспортные для перевозки людей прочие</w:t>
            </w:r>
          </w:p>
        </w:tc>
        <w:tc>
          <w:tcPr>
            <w:tcW w:w="2410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мощность двигателя; комплектация; предельная цена</w:t>
            </w:r>
          </w:p>
        </w:tc>
        <w:tc>
          <w:tcPr>
            <w:tcW w:w="709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251</w:t>
            </w:r>
          </w:p>
        </w:tc>
        <w:tc>
          <w:tcPr>
            <w:tcW w:w="708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лошадиная сила</w:t>
            </w:r>
          </w:p>
        </w:tc>
        <w:tc>
          <w:tcPr>
            <w:tcW w:w="1418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200</w:t>
            </w:r>
          </w:p>
        </w:tc>
        <w:tc>
          <w:tcPr>
            <w:tcW w:w="1417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200</w:t>
            </w:r>
          </w:p>
        </w:tc>
        <w:tc>
          <w:tcPr>
            <w:tcW w:w="1701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200</w:t>
            </w:r>
          </w:p>
        </w:tc>
        <w:tc>
          <w:tcPr>
            <w:tcW w:w="1843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E336E8" w:rsidRPr="00E336E8" w:rsidTr="00B21E6A">
        <w:tc>
          <w:tcPr>
            <w:tcW w:w="522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383</w:t>
            </w:r>
          </w:p>
        </w:tc>
        <w:tc>
          <w:tcPr>
            <w:tcW w:w="708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рубль</w:t>
            </w:r>
          </w:p>
        </w:tc>
        <w:tc>
          <w:tcPr>
            <w:tcW w:w="1418" w:type="dxa"/>
            <w:tcBorders>
              <w:top w:val="nil"/>
            </w:tcBorders>
          </w:tcPr>
          <w:p w:rsidR="00B21E6A" w:rsidRPr="00E336E8" w:rsidRDefault="00B21E6A" w:rsidP="00D51D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2,5 млн</w:t>
            </w:r>
          </w:p>
        </w:tc>
        <w:tc>
          <w:tcPr>
            <w:tcW w:w="1417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2 млн</w:t>
            </w:r>
          </w:p>
        </w:tc>
        <w:tc>
          <w:tcPr>
            <w:tcW w:w="1701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не более 1,5 млн</w:t>
            </w:r>
          </w:p>
        </w:tc>
        <w:tc>
          <w:tcPr>
            <w:tcW w:w="1843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336E8" w:rsidRPr="00E336E8" w:rsidTr="00B21E6A">
        <w:tc>
          <w:tcPr>
            <w:tcW w:w="522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6.</w:t>
            </w:r>
          </w:p>
        </w:tc>
        <w:tc>
          <w:tcPr>
            <w:tcW w:w="95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31.01.11</w:t>
            </w:r>
          </w:p>
        </w:tc>
        <w:tc>
          <w:tcPr>
            <w:tcW w:w="2126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410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материал (металл); обивочные материалы</w:t>
            </w:r>
          </w:p>
        </w:tc>
        <w:tc>
          <w:tcPr>
            <w:tcW w:w="709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7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ткань; возможные значения: нетканые материалы</w:t>
            </w:r>
          </w:p>
        </w:tc>
      </w:tr>
      <w:tr w:rsidR="00E336E8" w:rsidRPr="00E336E8" w:rsidTr="00B21E6A">
        <w:tc>
          <w:tcPr>
            <w:tcW w:w="522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7.</w:t>
            </w:r>
          </w:p>
        </w:tc>
        <w:tc>
          <w:tcPr>
            <w:tcW w:w="958" w:type="dxa"/>
            <w:vMerge w:val="restart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31.01.12</w:t>
            </w:r>
          </w:p>
        </w:tc>
        <w:tc>
          <w:tcPr>
            <w:tcW w:w="2126" w:type="dxa"/>
            <w:vMerge w:val="restart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Мебель деревянная для офисов. Пояснения по закупаемой продукции: мебель для сидения,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преимущественно с деревянным каркасом</w:t>
            </w:r>
          </w:p>
        </w:tc>
        <w:tc>
          <w:tcPr>
            <w:tcW w:w="2410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материал (вид древесины)</w:t>
            </w:r>
          </w:p>
        </w:tc>
        <w:tc>
          <w:tcPr>
            <w:tcW w:w="709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предельное значение - массив древесины "ценных"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пород (твердолиственных и тропических); возможные значения: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предельное значение - массив древесины "ценных"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пород (твердолиственных и тропических); возможные значения: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предельное значение - массив древесины "ценных" пород (твердолиственны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х и тропических); возможные значения: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пород: береза, лиственница, сосна, ель</w:t>
            </w:r>
          </w:p>
        </w:tc>
        <w:tc>
          <w:tcPr>
            <w:tcW w:w="1843" w:type="dxa"/>
            <w:tcBorders>
              <w:bottom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пород: береза,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лиственница, сосна, ель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пород: береза, лиственница, сосна, ель</w:t>
            </w:r>
          </w:p>
        </w:tc>
      </w:tr>
      <w:tr w:rsidR="00E336E8" w:rsidRPr="00E336E8" w:rsidTr="00B21E6A">
        <w:tc>
          <w:tcPr>
            <w:tcW w:w="522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21E6A" w:rsidRPr="00E336E8" w:rsidRDefault="00B21E6A" w:rsidP="001B35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обивочные материалы</w:t>
            </w:r>
          </w:p>
        </w:tc>
        <w:tc>
          <w:tcPr>
            <w:tcW w:w="709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7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tcBorders>
              <w:top w:val="nil"/>
            </w:tcBorders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предельное значение - ткань; возможное значение: нетканые материалы</w:t>
            </w:r>
          </w:p>
        </w:tc>
      </w:tr>
      <w:tr w:rsidR="00E336E8" w:rsidRPr="00E336E8" w:rsidTr="00B21E6A">
        <w:tc>
          <w:tcPr>
            <w:tcW w:w="522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8.</w:t>
            </w:r>
          </w:p>
        </w:tc>
        <w:tc>
          <w:tcPr>
            <w:tcW w:w="958" w:type="dxa"/>
          </w:tcPr>
          <w:p w:rsidR="00B21E6A" w:rsidRPr="00E336E8" w:rsidRDefault="00B21E6A" w:rsidP="001B35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31.09.13</w:t>
            </w:r>
          </w:p>
        </w:tc>
        <w:tc>
          <w:tcPr>
            <w:tcW w:w="2126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Мебель деревянная, не включенная в другие группировки. Пояснения по закупаемой продукции: для офисов, административных помещений, учебных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заведений, учреждений культуры и т.п.</w:t>
            </w:r>
          </w:p>
        </w:tc>
        <w:tc>
          <w:tcPr>
            <w:tcW w:w="2410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материал (вид древесины)</w:t>
            </w:r>
          </w:p>
        </w:tc>
        <w:tc>
          <w:tcPr>
            <w:tcW w:w="709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70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предельное значение - массив древесины "ценных" пород (твердолиственных и тропических);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</w:t>
            </w:r>
          </w:p>
        </w:tc>
        <w:tc>
          <w:tcPr>
            <w:tcW w:w="1417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предельное значение - массив древесины "ценных" пород (твердолиственных и тропических);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</w:t>
            </w:r>
          </w:p>
        </w:tc>
        <w:tc>
          <w:tcPr>
            <w:tcW w:w="1701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предельное значение - массив древесины "ценных" пород (твердолиственных и тропических); возможные значения: древесина </w:t>
            </w: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</w:t>
            </w:r>
          </w:p>
        </w:tc>
        <w:tc>
          <w:tcPr>
            <w:tcW w:w="1843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возможные значения -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</w:t>
            </w:r>
          </w:p>
        </w:tc>
        <w:tc>
          <w:tcPr>
            <w:tcW w:w="1418" w:type="dxa"/>
          </w:tcPr>
          <w:p w:rsidR="00B21E6A" w:rsidRPr="00E336E8" w:rsidRDefault="00B21E6A" w:rsidP="001B35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возможные значения - древесина хвойных и </w:t>
            </w:r>
            <w:proofErr w:type="spellStart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>мягколиственных</w:t>
            </w:r>
            <w:proofErr w:type="spellEnd"/>
            <w:r w:rsidRPr="00E336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пород</w:t>
            </w:r>
          </w:p>
        </w:tc>
      </w:tr>
    </w:tbl>
    <w:p w:rsidR="009F13B4" w:rsidRPr="00E336E8" w:rsidRDefault="001B35A1">
      <w:pPr>
        <w:rPr>
          <w:color w:val="000000" w:themeColor="text1"/>
        </w:rPr>
      </w:pPr>
      <w:r w:rsidRPr="00E336E8">
        <w:rPr>
          <w:color w:val="000000" w:themeColor="text1"/>
        </w:rPr>
        <w:br w:type="textWrapping" w:clear="all"/>
      </w:r>
    </w:p>
    <w:sectPr w:rsidR="009F13B4" w:rsidRPr="00E336E8" w:rsidSect="00D7427D">
      <w:pgSz w:w="16838" w:h="11905" w:orient="landscape"/>
      <w:pgMar w:top="567" w:right="1134" w:bottom="170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72"/>
    <w:rsid w:val="00026135"/>
    <w:rsid w:val="001655D0"/>
    <w:rsid w:val="001B35A1"/>
    <w:rsid w:val="00251559"/>
    <w:rsid w:val="002833CA"/>
    <w:rsid w:val="002F0357"/>
    <w:rsid w:val="00390008"/>
    <w:rsid w:val="003C26D4"/>
    <w:rsid w:val="00426E9E"/>
    <w:rsid w:val="00781A7B"/>
    <w:rsid w:val="007B627F"/>
    <w:rsid w:val="00896B0D"/>
    <w:rsid w:val="009F13B4"/>
    <w:rsid w:val="00AD631F"/>
    <w:rsid w:val="00B21E6A"/>
    <w:rsid w:val="00B22472"/>
    <w:rsid w:val="00B417D0"/>
    <w:rsid w:val="00C5186F"/>
    <w:rsid w:val="00C81EE5"/>
    <w:rsid w:val="00D51D04"/>
    <w:rsid w:val="00D7427D"/>
    <w:rsid w:val="00DE5B94"/>
    <w:rsid w:val="00E0596A"/>
    <w:rsid w:val="00E336E8"/>
    <w:rsid w:val="00EA7A94"/>
    <w:rsid w:val="00ED0DA3"/>
    <w:rsid w:val="00F06459"/>
    <w:rsid w:val="00F11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FAF3E-EB4F-4565-A050-53D062E66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472"/>
  </w:style>
  <w:style w:type="paragraph" w:styleId="1">
    <w:name w:val="heading 1"/>
    <w:basedOn w:val="a"/>
    <w:next w:val="a"/>
    <w:link w:val="10"/>
    <w:qFormat/>
    <w:rsid w:val="00EA7A9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A7A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2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2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C5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D7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7427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EA7A9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7A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EA7A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EA7A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B3AA483A18AFD55BCBD473C6E74B51D8384E21C248FE107F81FFCEE2C3DBE26AAB129FC9C54AA6009E461E3DiFgD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B3AA483A18AFD55BCBD473C6E74B51D83A4721C64AFE107F81FFCEE2C3DBE26AAB129FC9C54AA6009E461E3DiFgD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B3AA483A18AFD55BCBD473C6E74B51D8384E21C248FE107F81FFCEE2C3DBE26AAB129FC9C54AA6009E461E3DiFgDB" TargetMode="External"/><Relationship Id="rId5" Type="http://schemas.openxmlformats.org/officeDocument/2006/relationships/hyperlink" Target="consultantplus://offline/ref=9CB3AA483A18AFD55BCBD473C6E74B51D83A4721C64AFE107F81FFCEE2C3DBE26AAB129FC9C54AA6009E461E3DiFgD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4FD8-B2B2-4B41-BA2B-CE657B9C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Suprun</dc:creator>
  <cp:lastModifiedBy>Буймова</cp:lastModifiedBy>
  <cp:revision>2</cp:revision>
  <cp:lastPrinted>2023-03-18T07:02:00Z</cp:lastPrinted>
  <dcterms:created xsi:type="dcterms:W3CDTF">2023-03-18T07:03:00Z</dcterms:created>
  <dcterms:modified xsi:type="dcterms:W3CDTF">2023-03-18T07:03:00Z</dcterms:modified>
</cp:coreProperties>
</file>